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39BA" w14:textId="77777777" w:rsidR="00526DAC" w:rsidRDefault="00526DAC" w:rsidP="00883022">
      <w:pPr>
        <w:bidi/>
        <w:jc w:val="center"/>
        <w:rPr>
          <w:b/>
          <w:bCs/>
        </w:rPr>
      </w:pPr>
      <w:bookmarkStart w:id="0" w:name="_Hlk37169528"/>
    </w:p>
    <w:p w14:paraId="6DF6337C" w14:textId="27C2047F" w:rsidR="00A42082" w:rsidRDefault="004242C9" w:rsidP="00883022">
      <w:pPr>
        <w:bidi/>
        <w:jc w:val="center"/>
        <w:rPr>
          <w:b/>
          <w:bCs/>
          <w:rtl/>
        </w:rPr>
      </w:pPr>
      <w:r w:rsidRPr="004242C9">
        <w:rPr>
          <w:b/>
          <w:bCs/>
          <w:rtl/>
        </w:rPr>
        <w:t>دراسة نتائج الأمراض الحرجة الأفريقية (ACIOS)</w:t>
      </w:r>
    </w:p>
    <w:p w14:paraId="3DFAAC99" w14:textId="21436AE2" w:rsidR="003B3520" w:rsidRPr="003D4F0D" w:rsidRDefault="003B3520" w:rsidP="003B3520">
      <w:pPr>
        <w:bidi/>
        <w:jc w:val="center"/>
        <w:rPr>
          <w:b/>
          <w:bCs/>
        </w:rPr>
      </w:pPr>
      <w:r w:rsidRPr="003B3520">
        <w:rPr>
          <w:b/>
          <w:bCs/>
        </w:rPr>
        <w:t>The African Critical Illness Outcomes Study (ACIOS)</w:t>
      </w:r>
    </w:p>
    <w:bookmarkEnd w:id="0"/>
    <w:p w14:paraId="015E361D" w14:textId="14DC2F92" w:rsidR="00F10D0A" w:rsidRPr="003D4F0D" w:rsidRDefault="003B3520" w:rsidP="00883022">
      <w:pPr>
        <w:bidi/>
        <w:jc w:val="both"/>
        <w:rPr>
          <w:b/>
          <w:bCs/>
        </w:rPr>
      </w:pPr>
      <w:r>
        <w:rPr>
          <w:rFonts w:hint="cs"/>
          <w:b/>
          <w:bCs/>
          <w:rtl/>
        </w:rPr>
        <w:t>مقدمة</w:t>
      </w:r>
    </w:p>
    <w:p w14:paraId="6979643E" w14:textId="45B44A8C" w:rsidR="00E5245D" w:rsidRDefault="00E5245D" w:rsidP="00883022">
      <w:pPr>
        <w:bidi/>
        <w:ind w:firstLine="720"/>
        <w:jc w:val="both"/>
      </w:pPr>
      <w:bookmarkStart w:id="1" w:name="_Hlk38201183"/>
      <w:r>
        <w:rPr>
          <w:rtl/>
        </w:rPr>
        <w:t xml:space="preserve">لم يتم تحديد عدد المرضى الذين يعانون من أمراض خطيرة بدقة ، على الرغم من أن البيانات تشير إلى أنه يتجاوز 10٪ للمرضى الداخليين في المستشفيات ، ويتراوح معدل الوفيات داخل المستشفى للمرضى المصابين بأمراض خطيرة بين 18-82٪. وفي أفريقيا، من المرجح أن يكون معدل انتشار الأمراض الخطيرة أعلى بسبب زيادة عبء المرض، وارتفاع معدل الوفيات المرتبط به بسبب الموارد المحدودة. </w:t>
      </w:r>
    </w:p>
    <w:p w14:paraId="71077BF5" w14:textId="7C8FC3BF" w:rsidR="00E5245D" w:rsidRDefault="007C37E1" w:rsidP="00883022">
      <w:pPr>
        <w:bidi/>
        <w:ind w:firstLine="720"/>
        <w:jc w:val="both"/>
      </w:pPr>
      <w:r>
        <w:rPr>
          <w:rtl/>
        </w:rPr>
        <w:t xml:space="preserve">هذه دراسة مستقبلية قائمة على الملاحظة لتحديد انتشار الأمراض الخطيرة بسرعة في المرضى البالغين داخل المستشفى في إفريقيا ، والموارد المتاحة لتوفير الرعاية الحرجة الأساسية (الرعاية التي يجب أن تكون متاحة لكل مريض في العالم) والعوامل المرتبطة بالوفيات. </w:t>
      </w:r>
    </w:p>
    <w:p w14:paraId="105706E5" w14:textId="77777777" w:rsidR="00E5245D" w:rsidRDefault="00E5245D" w:rsidP="00883022">
      <w:pPr>
        <w:bidi/>
        <w:ind w:firstLine="720"/>
        <w:jc w:val="both"/>
      </w:pPr>
      <w:r>
        <w:rPr>
          <w:rtl/>
        </w:rPr>
        <w:t>وقد يساعد النشر السريع لهذه النتائج في التخفيف من الوفيات الناجمة عن الأمراض الخطيرة في أفريقيا. توفر هذه النقاط الأساس المنطقي لدراسة نتائج الأمراض الحرجة الأفريقية (ACIOS).</w:t>
      </w:r>
    </w:p>
    <w:bookmarkEnd w:id="1"/>
    <w:p w14:paraId="2986ACB5" w14:textId="32558161" w:rsidR="00F10D0A" w:rsidRDefault="00F10D0A" w:rsidP="00883022">
      <w:pPr>
        <w:bidi/>
        <w:jc w:val="both"/>
        <w:rPr>
          <w:b/>
          <w:bCs/>
        </w:rPr>
      </w:pPr>
      <w:r w:rsidRPr="000650DA">
        <w:rPr>
          <w:b/>
          <w:bCs/>
          <w:rtl/>
        </w:rPr>
        <w:t>أهداف الدراسة</w:t>
      </w:r>
    </w:p>
    <w:p w14:paraId="6BF5DD92" w14:textId="77777777" w:rsidR="004242C9" w:rsidRDefault="004242C9" w:rsidP="00883022">
      <w:pPr>
        <w:bidi/>
        <w:jc w:val="both"/>
      </w:pPr>
      <w:r>
        <w:rPr>
          <w:rtl/>
        </w:rPr>
        <w:t>وتتمثل أهداف هذه الدراسة في تحديد:</w:t>
      </w:r>
    </w:p>
    <w:p w14:paraId="52421676" w14:textId="054B219D" w:rsidR="004242C9" w:rsidRDefault="005C614D" w:rsidP="00883022">
      <w:pPr>
        <w:pStyle w:val="ListParagraph"/>
        <w:numPr>
          <w:ilvl w:val="0"/>
          <w:numId w:val="3"/>
        </w:numPr>
        <w:bidi/>
        <w:jc w:val="both"/>
      </w:pPr>
      <w:r>
        <w:rPr>
          <w:rtl/>
        </w:rPr>
        <w:t>نسبة مرضى المستشفيات المصابين بأمراض خطيرة ،</w:t>
      </w:r>
    </w:p>
    <w:p w14:paraId="4C648069" w14:textId="18DDAD18" w:rsidR="004242C9" w:rsidRDefault="004242C9" w:rsidP="00883022">
      <w:pPr>
        <w:pStyle w:val="ListParagraph"/>
        <w:numPr>
          <w:ilvl w:val="0"/>
          <w:numId w:val="3"/>
        </w:numPr>
        <w:bidi/>
        <w:jc w:val="both"/>
      </w:pPr>
      <w:r>
        <w:rPr>
          <w:rtl/>
        </w:rPr>
        <w:t>الوفيات المرتبطة بالأمراض الخطيرة ،</w:t>
      </w:r>
    </w:p>
    <w:p w14:paraId="469F2A4A" w14:textId="70F2334F" w:rsidR="004242C9" w:rsidRDefault="004242C9" w:rsidP="00883022">
      <w:pPr>
        <w:pStyle w:val="ListParagraph"/>
        <w:numPr>
          <w:ilvl w:val="0"/>
          <w:numId w:val="3"/>
        </w:numPr>
        <w:bidi/>
        <w:jc w:val="both"/>
      </w:pPr>
      <w:r>
        <w:rPr>
          <w:rtl/>
        </w:rPr>
        <w:t xml:space="preserve">نسبة المرضى المصابين بأمراض خطيرة الذين يتلقون الرعاية الطارئة والحرجة الأساسية ، </w:t>
      </w:r>
    </w:p>
    <w:p w14:paraId="6326332B" w14:textId="2655A538" w:rsidR="004242C9" w:rsidRDefault="004242C9" w:rsidP="00883022">
      <w:pPr>
        <w:pStyle w:val="ListParagraph"/>
        <w:numPr>
          <w:ilvl w:val="0"/>
          <w:numId w:val="3"/>
        </w:numPr>
        <w:bidi/>
        <w:jc w:val="both"/>
      </w:pPr>
      <w:r>
        <w:rPr>
          <w:rtl/>
        </w:rPr>
        <w:t xml:space="preserve">العلاقة بين توفير الرعاية الأساسية في حالات الطوارئ والرعاية الحرجة ، والوفيات ، و </w:t>
      </w:r>
    </w:p>
    <w:p w14:paraId="0C301B87" w14:textId="00321F71" w:rsidR="004242C9" w:rsidRDefault="004242C9" w:rsidP="00883022">
      <w:pPr>
        <w:pStyle w:val="ListParagraph"/>
        <w:numPr>
          <w:ilvl w:val="0"/>
          <w:numId w:val="3"/>
        </w:numPr>
        <w:bidi/>
        <w:jc w:val="both"/>
      </w:pPr>
      <w:r>
        <w:rPr>
          <w:rtl/>
        </w:rPr>
        <w:t>توافر الموارد اللازمة لتوفير الرعاية الأساسية في حالات الطوارئ والرعاية الحرجة.</w:t>
      </w:r>
    </w:p>
    <w:p w14:paraId="6D48E614" w14:textId="68EAA105" w:rsidR="00F10D0A" w:rsidRPr="00065CCC" w:rsidRDefault="00F10D0A" w:rsidP="00883022">
      <w:pPr>
        <w:bidi/>
        <w:jc w:val="both"/>
        <w:rPr>
          <w:b/>
          <w:bCs/>
        </w:rPr>
      </w:pPr>
      <w:r w:rsidRPr="00065CCC">
        <w:rPr>
          <w:b/>
          <w:bCs/>
          <w:rtl/>
        </w:rPr>
        <w:t>تصميم الدراسة</w:t>
      </w:r>
    </w:p>
    <w:p w14:paraId="7A60F472" w14:textId="1E93C9C3" w:rsidR="00311FF7" w:rsidRDefault="003B3520" w:rsidP="00883022">
      <w:pPr>
        <w:bidi/>
        <w:ind w:firstLine="720"/>
        <w:jc w:val="both"/>
      </w:pPr>
      <w:r w:rsidRPr="003B3520">
        <w:rPr>
          <w:rFonts w:cs="Arial"/>
          <w:rtl/>
        </w:rPr>
        <w:t>دراسة رصدية أفريقية متعددة المراكز</w:t>
      </w:r>
      <w:r w:rsidR="00F10D0A">
        <w:rPr>
          <w:rtl/>
        </w:rPr>
        <w:t xml:space="preserve"> للمرضى البالغين (≥18 عاما) في المستشفى. ستكون متابعة المريض لمدة أقصاها 7 أيام في المستشفى. </w:t>
      </w:r>
    </w:p>
    <w:p w14:paraId="6AA9D1AA" w14:textId="4295B8B2" w:rsidR="004C6F49" w:rsidRDefault="00311FF7" w:rsidP="00883022">
      <w:pPr>
        <w:bidi/>
        <w:ind w:firstLine="720"/>
        <w:jc w:val="both"/>
      </w:pPr>
      <w:r>
        <w:rPr>
          <w:rtl/>
        </w:rPr>
        <w:t>والنتيجة الأولية هي الوفيات داخل المستشفيات بين مرضى المستشفيات البالغين المصابين بأمراض خطيرة وغير المصابين بها في أفريقيا.</w:t>
      </w:r>
    </w:p>
    <w:p w14:paraId="466B736C" w14:textId="1F9A1967" w:rsidR="00F10D0A" w:rsidRDefault="00494C24" w:rsidP="00883022">
      <w:pPr>
        <w:bidi/>
        <w:ind w:firstLine="720"/>
        <w:jc w:val="both"/>
      </w:pPr>
      <w:r>
        <w:rPr>
          <w:rtl/>
        </w:rPr>
        <w:t>والقصد من ذلك هو تقديم عينة تمثيلية من الوفيات، وعوامل الخطر المرتبطة بالوفيات لدى المرضى البالغين المصابين بأمراض خطيرة، والموارد المتاحة والتدخلات المقدمة لعلاج الأمراض الخطيرة في أفريقيا</w:t>
      </w:r>
      <w:r w:rsidR="003B3520">
        <w:rPr>
          <w:rFonts w:hint="cs"/>
          <w:rtl/>
        </w:rPr>
        <w:t xml:space="preserve"> و</w:t>
      </w:r>
      <w:r>
        <w:rPr>
          <w:rtl/>
        </w:rPr>
        <w:t xml:space="preserve"> ستستمر هذه الدراسة بين سبتمبر ونوفمبر 2023.</w:t>
      </w:r>
    </w:p>
    <w:p w14:paraId="30E5672D" w14:textId="77777777" w:rsidR="00F10D0A" w:rsidRPr="00494C24" w:rsidRDefault="00F10D0A" w:rsidP="00883022">
      <w:pPr>
        <w:bidi/>
        <w:jc w:val="both"/>
        <w:rPr>
          <w:b/>
          <w:bCs/>
        </w:rPr>
      </w:pPr>
      <w:r w:rsidRPr="00494C24">
        <w:rPr>
          <w:b/>
          <w:bCs/>
          <w:rtl/>
        </w:rPr>
        <w:t>العمل التحضيري</w:t>
      </w:r>
    </w:p>
    <w:p w14:paraId="73332262" w14:textId="108D6E81" w:rsidR="00F10D0A" w:rsidRDefault="006C1996" w:rsidP="00883022">
      <w:pPr>
        <w:bidi/>
        <w:ind w:firstLine="720"/>
        <w:jc w:val="both"/>
      </w:pPr>
      <w:r>
        <w:rPr>
          <w:rtl/>
        </w:rPr>
        <w:t>سيتم تشغيل هذه الدراسة من قبل المجموعة الأفريقية للبحوث المحيطة بالجراحة (APORG) ، مع شبكة تضم أكثر من 600 مستشفى في أكثر من 40 دولة أفريقية والتي أجرت بنجاح دراسة النتائج الجراحية الأفريقية (ASOS) ، وتجربة ASOS-2 ، ودراسة نتائج الرعاية الحرجة الأفريقية ل</w:t>
      </w:r>
      <w:r w:rsidR="003B3520">
        <w:rPr>
          <w:rFonts w:hint="cs"/>
          <w:rtl/>
        </w:rPr>
        <w:t>كوفيد 19</w:t>
      </w:r>
      <w:r>
        <w:rPr>
          <w:rtl/>
        </w:rPr>
        <w:t xml:space="preserve"> (ACCCOS) ودراسة النتائج الجراحية للأطفال الأفريقية (ASOS-Paeds). </w:t>
      </w:r>
    </w:p>
    <w:p w14:paraId="2F568B0A" w14:textId="77777777" w:rsidR="00494C24" w:rsidRDefault="00F10D0A" w:rsidP="00883022">
      <w:pPr>
        <w:bidi/>
        <w:jc w:val="both"/>
        <w:rPr>
          <w:b/>
          <w:bCs/>
        </w:rPr>
      </w:pPr>
      <w:r w:rsidRPr="00494C24">
        <w:rPr>
          <w:b/>
          <w:bCs/>
          <w:rtl/>
        </w:rPr>
        <w:t>أهمية هذه الدراسة</w:t>
      </w:r>
    </w:p>
    <w:p w14:paraId="5AA2E12D" w14:textId="2734FA7E" w:rsidR="00F10D0A" w:rsidRDefault="00494C24" w:rsidP="00883022">
      <w:pPr>
        <w:bidi/>
        <w:ind w:firstLine="720"/>
        <w:jc w:val="both"/>
      </w:pPr>
      <w:r w:rsidRPr="00494C24">
        <w:rPr>
          <w:rtl/>
        </w:rPr>
        <w:t xml:space="preserve">وللحد من الوفيات المرتبطة بالأمراض الخطيرة في أفريقيا، من المهم الإسراع بتحديد عوامل الخطر المحتملة للوفيات، والموارد المتاحة لإدارة هؤلاء المرضى. شبكة APORG لديها القدرة على توفير هذه البيانات في الوقت المناسب. </w:t>
      </w:r>
    </w:p>
    <w:sectPr w:rsidR="00F10D0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D3D4" w14:textId="77777777" w:rsidR="008079D1" w:rsidRDefault="008079D1" w:rsidP="00EA7FFA">
      <w:pPr>
        <w:spacing w:after="0" w:line="240" w:lineRule="auto"/>
      </w:pPr>
      <w:r>
        <w:separator/>
      </w:r>
    </w:p>
  </w:endnote>
  <w:endnote w:type="continuationSeparator" w:id="0">
    <w:p w14:paraId="33E40D52" w14:textId="77777777" w:rsidR="008079D1" w:rsidRDefault="008079D1" w:rsidP="00EA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469A" w14:textId="01102034" w:rsidR="00EA7FFA" w:rsidRDefault="00EA7FFA">
    <w:pPr>
      <w:pStyle w:val="Footer"/>
      <w:bidi/>
    </w:pPr>
    <w:r>
      <w:rPr>
        <w:rtl/>
      </w:rPr>
      <w:ptab w:relativeTo="margin" w:alignment="center" w:leader="none"/>
    </w:r>
    <w:r w:rsidR="004242C9" w:rsidRPr="004242C9">
      <w:rPr>
        <w:rtl/>
      </w:rPr>
      <w:t xml:space="preserve"> دراسة نتائج الأمراض الحرجة الأفريقية (ACIOS)</w:t>
    </w:r>
    <w:r>
      <w:rPr>
        <w:rtl/>
      </w:rPr>
      <w:ptab w:relativeTo="margin" w:alignment="right" w:leader="none"/>
    </w:r>
    <w:r w:rsidR="00C03C07">
      <w:rPr>
        <w:rtl/>
      </w:rPr>
      <w:t>13 أبريل,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BAD9" w14:textId="77777777" w:rsidR="008079D1" w:rsidRDefault="008079D1" w:rsidP="00EA7FFA">
      <w:pPr>
        <w:spacing w:after="0" w:line="240" w:lineRule="auto"/>
      </w:pPr>
      <w:r>
        <w:separator/>
      </w:r>
    </w:p>
  </w:footnote>
  <w:footnote w:type="continuationSeparator" w:id="0">
    <w:p w14:paraId="75D46DEB" w14:textId="77777777" w:rsidR="008079D1" w:rsidRDefault="008079D1" w:rsidP="00EA7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D0A2" w14:textId="34F4A09A" w:rsidR="00883022" w:rsidRDefault="00526DAC" w:rsidP="00526DAC">
    <w:pPr>
      <w:pStyle w:val="Header"/>
      <w:bidi/>
      <w:jc w:val="center"/>
    </w:pPr>
    <w:r>
      <w:rPr>
        <w:noProof/>
        <w:rtl/>
        <w:lang w:eastAsia="en-GB"/>
      </w:rPr>
      <w:drawing>
        <wp:anchor distT="0" distB="0" distL="114300" distR="114300" simplePos="0" relativeHeight="251661312" behindDoc="0" locked="0" layoutInCell="1" allowOverlap="1" wp14:anchorId="502B1C8E" wp14:editId="5BBD9802">
          <wp:simplePos x="0" y="0"/>
          <wp:positionH relativeFrom="column">
            <wp:posOffset>4599500</wp:posOffset>
          </wp:positionH>
          <wp:positionV relativeFrom="paragraph">
            <wp:posOffset>-204567</wp:posOffset>
          </wp:positionV>
          <wp:extent cx="1457864" cy="652202"/>
          <wp:effectExtent l="0" t="0" r="9525" b="0"/>
          <wp:wrapNone/>
          <wp:docPr id="5" name="Picture 5" descr="نص&#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864" cy="652202"/>
                  </a:xfrm>
                  <a:prstGeom prst="rect">
                    <a:avLst/>
                  </a:prstGeom>
                </pic:spPr>
              </pic:pic>
            </a:graphicData>
          </a:graphic>
          <wp14:sizeRelH relativeFrom="page">
            <wp14:pctWidth>0</wp14:pctWidth>
          </wp14:sizeRelH>
          <wp14:sizeRelV relativeFrom="page">
            <wp14:pctHeight>0</wp14:pctHeight>
          </wp14:sizeRelV>
        </wp:anchor>
      </w:drawing>
    </w:r>
    <w:r>
      <w:rPr>
        <w:noProof/>
        <w:rtl/>
      </w:rPr>
      <w:drawing>
        <wp:inline distT="0" distB="0" distL="0" distR="0" wp14:anchorId="464E6028" wp14:editId="56D95EFD">
          <wp:extent cx="1906172" cy="4061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296" cy="410061"/>
                  </a:xfrm>
                  <a:prstGeom prst="rect">
                    <a:avLst/>
                  </a:prstGeom>
                  <a:noFill/>
                  <a:ln>
                    <a:noFill/>
                  </a:ln>
                </pic:spPr>
              </pic:pic>
            </a:graphicData>
          </a:graphic>
        </wp:inline>
      </w:drawing>
    </w:r>
    <w:r w:rsidR="00883022">
      <w:rPr>
        <w:noProof/>
        <w:rtl/>
        <w:lang w:eastAsia="en-GB"/>
      </w:rPr>
      <w:drawing>
        <wp:anchor distT="0" distB="0" distL="114300" distR="114300" simplePos="0" relativeHeight="251659264" behindDoc="0" locked="0" layoutInCell="1" allowOverlap="1" wp14:anchorId="4CCEFFA6" wp14:editId="3C325FD7">
          <wp:simplePos x="0" y="0"/>
          <wp:positionH relativeFrom="column">
            <wp:posOffset>0</wp:posOffset>
          </wp:positionH>
          <wp:positionV relativeFrom="paragraph">
            <wp:posOffset>-635</wp:posOffset>
          </wp:positionV>
          <wp:extent cx="1466491" cy="467931"/>
          <wp:effectExtent l="0" t="0" r="635" b="8890"/>
          <wp:wrapNone/>
          <wp:docPr id="3" name="Picture 3" descr="شعار&#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3" cstate="print">
                    <a:extLst>
                      <a:ext uri="{28A0092B-C50C-407E-A947-70E740481C1C}">
                        <a14:useLocalDpi xmlns:a14="http://schemas.microsoft.com/office/drawing/2010/main" val="0"/>
                      </a:ext>
                    </a:extLst>
                  </a:blip>
                  <a:srcRect l="2227" t="21767" r="18137" b="33039"/>
                  <a:stretch/>
                </pic:blipFill>
                <pic:spPr bwMode="auto">
                  <a:xfrm>
                    <a:off x="0" y="0"/>
                    <a:ext cx="1511070" cy="48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3232F"/>
    <w:multiLevelType w:val="hybridMultilevel"/>
    <w:tmpl w:val="F806C96E"/>
    <w:lvl w:ilvl="0" w:tplc="E356E398">
      <w:start w:val="1"/>
      <w:numFmt w:val="decimalFullWidth"/>
      <w:lvlText w:val="%1."/>
      <w:lvlJc w:val="left"/>
      <w:pPr>
        <w:ind w:left="1080" w:hanging="720"/>
      </w:pPr>
      <w:rPr>
        <w:rFonts w:hint="default"/>
      </w:rPr>
    </w:lvl>
    <w:lvl w:ilvl="1" w:tplc="1C090019" w:tentative="1">
      <w:start w:val="1"/>
      <w:numFmt w:val="arabicAlpha"/>
      <w:lvlText w:val="%2."/>
      <w:lvlJc w:val="left"/>
      <w:pPr>
        <w:ind w:left="1440" w:hanging="360"/>
      </w:pPr>
    </w:lvl>
    <w:lvl w:ilvl="2" w:tplc="1C09001B" w:tentative="1">
      <w:start w:val="1"/>
      <w:numFmt w:val="arabicAbjad"/>
      <w:lvlText w:val="%3."/>
      <w:lvlJc w:val="right"/>
      <w:pPr>
        <w:ind w:left="2160" w:hanging="180"/>
      </w:pPr>
    </w:lvl>
    <w:lvl w:ilvl="3" w:tplc="1C09000F" w:tentative="1">
      <w:start w:val="1"/>
      <w:numFmt w:val="decimalFullWidth"/>
      <w:lvlText w:val="%4."/>
      <w:lvlJc w:val="left"/>
      <w:pPr>
        <w:ind w:left="2880" w:hanging="360"/>
      </w:pPr>
    </w:lvl>
    <w:lvl w:ilvl="4" w:tplc="1C090019" w:tentative="1">
      <w:start w:val="1"/>
      <w:numFmt w:val="arabicAlpha"/>
      <w:lvlText w:val="%5."/>
      <w:lvlJc w:val="left"/>
      <w:pPr>
        <w:ind w:left="3600" w:hanging="360"/>
      </w:pPr>
    </w:lvl>
    <w:lvl w:ilvl="5" w:tplc="1C09001B" w:tentative="1">
      <w:start w:val="1"/>
      <w:numFmt w:val="arabicAbjad"/>
      <w:lvlText w:val="%6."/>
      <w:lvlJc w:val="right"/>
      <w:pPr>
        <w:ind w:left="4320" w:hanging="180"/>
      </w:pPr>
    </w:lvl>
    <w:lvl w:ilvl="6" w:tplc="1C09000F" w:tentative="1">
      <w:start w:val="1"/>
      <w:numFmt w:val="decimalFullWidth"/>
      <w:lvlText w:val="%7."/>
      <w:lvlJc w:val="left"/>
      <w:pPr>
        <w:ind w:left="5040" w:hanging="360"/>
      </w:pPr>
    </w:lvl>
    <w:lvl w:ilvl="7" w:tplc="1C090019" w:tentative="1">
      <w:start w:val="1"/>
      <w:numFmt w:val="arabicAlpha"/>
      <w:lvlText w:val="%8."/>
      <w:lvlJc w:val="left"/>
      <w:pPr>
        <w:ind w:left="5760" w:hanging="360"/>
      </w:pPr>
    </w:lvl>
    <w:lvl w:ilvl="8" w:tplc="1C09001B" w:tentative="1">
      <w:start w:val="1"/>
      <w:numFmt w:val="arabicAbjad"/>
      <w:lvlText w:val="%9."/>
      <w:lvlJc w:val="right"/>
      <w:pPr>
        <w:ind w:left="6480" w:hanging="180"/>
      </w:pPr>
    </w:lvl>
  </w:abstractNum>
  <w:abstractNum w:abstractNumId="1" w15:restartNumberingAfterBreak="0">
    <w:nsid w:val="4C5B07D7"/>
    <w:multiLevelType w:val="hybridMultilevel"/>
    <w:tmpl w:val="D8E68E92"/>
    <w:lvl w:ilvl="0" w:tplc="1C09000F">
      <w:start w:val="1"/>
      <w:numFmt w:val="decimalFullWidth"/>
      <w:lvlText w:val="%1."/>
      <w:lvlJc w:val="left"/>
      <w:pPr>
        <w:ind w:left="720" w:hanging="360"/>
      </w:pPr>
    </w:lvl>
    <w:lvl w:ilvl="1" w:tplc="1C090019" w:tentative="1">
      <w:start w:val="1"/>
      <w:numFmt w:val="arabicAlpha"/>
      <w:lvlText w:val="%2."/>
      <w:lvlJc w:val="left"/>
      <w:pPr>
        <w:ind w:left="1440" w:hanging="360"/>
      </w:pPr>
    </w:lvl>
    <w:lvl w:ilvl="2" w:tplc="1C09001B" w:tentative="1">
      <w:start w:val="1"/>
      <w:numFmt w:val="arabicAbjad"/>
      <w:lvlText w:val="%3."/>
      <w:lvlJc w:val="right"/>
      <w:pPr>
        <w:ind w:left="2160" w:hanging="180"/>
      </w:pPr>
    </w:lvl>
    <w:lvl w:ilvl="3" w:tplc="1C09000F" w:tentative="1">
      <w:start w:val="1"/>
      <w:numFmt w:val="decimalFullWidth"/>
      <w:lvlText w:val="%4."/>
      <w:lvlJc w:val="left"/>
      <w:pPr>
        <w:ind w:left="2880" w:hanging="360"/>
      </w:pPr>
    </w:lvl>
    <w:lvl w:ilvl="4" w:tplc="1C090019" w:tentative="1">
      <w:start w:val="1"/>
      <w:numFmt w:val="arabicAlpha"/>
      <w:lvlText w:val="%5."/>
      <w:lvlJc w:val="left"/>
      <w:pPr>
        <w:ind w:left="3600" w:hanging="360"/>
      </w:pPr>
    </w:lvl>
    <w:lvl w:ilvl="5" w:tplc="1C09001B" w:tentative="1">
      <w:start w:val="1"/>
      <w:numFmt w:val="arabicAbjad"/>
      <w:lvlText w:val="%6."/>
      <w:lvlJc w:val="right"/>
      <w:pPr>
        <w:ind w:left="4320" w:hanging="180"/>
      </w:pPr>
    </w:lvl>
    <w:lvl w:ilvl="6" w:tplc="1C09000F" w:tentative="1">
      <w:start w:val="1"/>
      <w:numFmt w:val="decimalFullWidth"/>
      <w:lvlText w:val="%7."/>
      <w:lvlJc w:val="left"/>
      <w:pPr>
        <w:ind w:left="5040" w:hanging="360"/>
      </w:pPr>
    </w:lvl>
    <w:lvl w:ilvl="7" w:tplc="1C090019" w:tentative="1">
      <w:start w:val="1"/>
      <w:numFmt w:val="arabicAlpha"/>
      <w:lvlText w:val="%8."/>
      <w:lvlJc w:val="left"/>
      <w:pPr>
        <w:ind w:left="5760" w:hanging="360"/>
      </w:pPr>
    </w:lvl>
    <w:lvl w:ilvl="8" w:tplc="1C09001B" w:tentative="1">
      <w:start w:val="1"/>
      <w:numFmt w:val="arabicAbjad"/>
      <w:lvlText w:val="%9."/>
      <w:lvlJc w:val="right"/>
      <w:pPr>
        <w:ind w:left="6480" w:hanging="180"/>
      </w:pPr>
    </w:lvl>
  </w:abstractNum>
  <w:abstractNum w:abstractNumId="2" w15:restartNumberingAfterBreak="0">
    <w:nsid w:val="66AA5479"/>
    <w:multiLevelType w:val="hybridMultilevel"/>
    <w:tmpl w:val="F7B226C8"/>
    <w:lvl w:ilvl="0" w:tplc="1C09000F">
      <w:start w:val="1"/>
      <w:numFmt w:val="decimalFullWidth"/>
      <w:lvlText w:val="%1."/>
      <w:lvlJc w:val="left"/>
      <w:pPr>
        <w:ind w:left="720" w:hanging="360"/>
      </w:pPr>
    </w:lvl>
    <w:lvl w:ilvl="1" w:tplc="1C090019" w:tentative="1">
      <w:start w:val="1"/>
      <w:numFmt w:val="arabicAlpha"/>
      <w:lvlText w:val="%2."/>
      <w:lvlJc w:val="left"/>
      <w:pPr>
        <w:ind w:left="1440" w:hanging="360"/>
      </w:pPr>
    </w:lvl>
    <w:lvl w:ilvl="2" w:tplc="1C09001B" w:tentative="1">
      <w:start w:val="1"/>
      <w:numFmt w:val="arabicAbjad"/>
      <w:lvlText w:val="%3."/>
      <w:lvlJc w:val="right"/>
      <w:pPr>
        <w:ind w:left="2160" w:hanging="180"/>
      </w:pPr>
    </w:lvl>
    <w:lvl w:ilvl="3" w:tplc="1C09000F" w:tentative="1">
      <w:start w:val="1"/>
      <w:numFmt w:val="decimalFullWidth"/>
      <w:lvlText w:val="%4."/>
      <w:lvlJc w:val="left"/>
      <w:pPr>
        <w:ind w:left="2880" w:hanging="360"/>
      </w:pPr>
    </w:lvl>
    <w:lvl w:ilvl="4" w:tplc="1C090019" w:tentative="1">
      <w:start w:val="1"/>
      <w:numFmt w:val="arabicAlpha"/>
      <w:lvlText w:val="%5."/>
      <w:lvlJc w:val="left"/>
      <w:pPr>
        <w:ind w:left="3600" w:hanging="360"/>
      </w:pPr>
    </w:lvl>
    <w:lvl w:ilvl="5" w:tplc="1C09001B" w:tentative="1">
      <w:start w:val="1"/>
      <w:numFmt w:val="arabicAbjad"/>
      <w:lvlText w:val="%6."/>
      <w:lvlJc w:val="right"/>
      <w:pPr>
        <w:ind w:left="4320" w:hanging="180"/>
      </w:pPr>
    </w:lvl>
    <w:lvl w:ilvl="6" w:tplc="1C09000F" w:tentative="1">
      <w:start w:val="1"/>
      <w:numFmt w:val="decimalFullWidth"/>
      <w:lvlText w:val="%7."/>
      <w:lvlJc w:val="left"/>
      <w:pPr>
        <w:ind w:left="5040" w:hanging="360"/>
      </w:pPr>
    </w:lvl>
    <w:lvl w:ilvl="7" w:tplc="1C090019" w:tentative="1">
      <w:start w:val="1"/>
      <w:numFmt w:val="arabicAlpha"/>
      <w:lvlText w:val="%8."/>
      <w:lvlJc w:val="left"/>
      <w:pPr>
        <w:ind w:left="5760" w:hanging="360"/>
      </w:pPr>
    </w:lvl>
    <w:lvl w:ilvl="8" w:tplc="1C09001B" w:tentative="1">
      <w:start w:val="1"/>
      <w:numFmt w:val="arabicAbjad"/>
      <w:lvlText w:val="%9."/>
      <w:lvlJc w:val="right"/>
      <w:pPr>
        <w:ind w:left="6480" w:hanging="180"/>
      </w:pPr>
    </w:lvl>
  </w:abstractNum>
  <w:num w:numId="1" w16cid:durableId="2071029542">
    <w:abstractNumId w:val="1"/>
  </w:num>
  <w:num w:numId="2" w16cid:durableId="128517259">
    <w:abstractNumId w:val="2"/>
  </w:num>
  <w:num w:numId="3" w16cid:durableId="190771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0A"/>
    <w:rsid w:val="000650DA"/>
    <w:rsid w:val="00065CCC"/>
    <w:rsid w:val="00101488"/>
    <w:rsid w:val="00156C8C"/>
    <w:rsid w:val="00311FF7"/>
    <w:rsid w:val="00380FC2"/>
    <w:rsid w:val="003B3520"/>
    <w:rsid w:val="003D4F0D"/>
    <w:rsid w:val="004242C9"/>
    <w:rsid w:val="0046625E"/>
    <w:rsid w:val="00494C24"/>
    <w:rsid w:val="004C6F49"/>
    <w:rsid w:val="00526DAC"/>
    <w:rsid w:val="00541929"/>
    <w:rsid w:val="00591B9A"/>
    <w:rsid w:val="005C614D"/>
    <w:rsid w:val="006031DE"/>
    <w:rsid w:val="006C1996"/>
    <w:rsid w:val="006F2A0F"/>
    <w:rsid w:val="007022DF"/>
    <w:rsid w:val="007B75F8"/>
    <w:rsid w:val="007C37E1"/>
    <w:rsid w:val="007C7F97"/>
    <w:rsid w:val="007E03E3"/>
    <w:rsid w:val="008005D7"/>
    <w:rsid w:val="008079D1"/>
    <w:rsid w:val="008434D1"/>
    <w:rsid w:val="00874538"/>
    <w:rsid w:val="00883022"/>
    <w:rsid w:val="009D4B3E"/>
    <w:rsid w:val="00A42082"/>
    <w:rsid w:val="00A436A5"/>
    <w:rsid w:val="00AD0421"/>
    <w:rsid w:val="00B0062D"/>
    <w:rsid w:val="00B51FD8"/>
    <w:rsid w:val="00C03C07"/>
    <w:rsid w:val="00C31DFD"/>
    <w:rsid w:val="00D65D51"/>
    <w:rsid w:val="00D872D7"/>
    <w:rsid w:val="00DE3205"/>
    <w:rsid w:val="00E5245D"/>
    <w:rsid w:val="00EA7FFA"/>
    <w:rsid w:val="00F10D0A"/>
    <w:rsid w:val="00F91ECE"/>
    <w:rsid w:val="00FD5A9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45099"/>
  <w15:chartTrackingRefBased/>
  <w15:docId w15:val="{8B356128-E8E4-46F4-A8F2-B4AAE6D6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C24"/>
    <w:pPr>
      <w:ind w:left="720"/>
      <w:contextualSpacing/>
    </w:pPr>
  </w:style>
  <w:style w:type="paragraph" w:styleId="Header">
    <w:name w:val="header"/>
    <w:basedOn w:val="Normal"/>
    <w:link w:val="HeaderChar"/>
    <w:uiPriority w:val="99"/>
    <w:unhideWhenUsed/>
    <w:rsid w:val="00EA7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FFA"/>
  </w:style>
  <w:style w:type="paragraph" w:styleId="Footer">
    <w:name w:val="footer"/>
    <w:basedOn w:val="Normal"/>
    <w:link w:val="FooterChar"/>
    <w:uiPriority w:val="99"/>
    <w:unhideWhenUsed/>
    <w:rsid w:val="00EA7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FFA"/>
  </w:style>
  <w:style w:type="paragraph" w:customStyle="1" w:styleId="Standard">
    <w:name w:val="Standard"/>
    <w:basedOn w:val="Normal"/>
    <w:next w:val="Normal"/>
    <w:rsid w:val="00156C8C"/>
    <w:pPr>
      <w:suppressAutoHyphens/>
      <w:autoSpaceDE w:val="0"/>
      <w:spacing w:after="0" w:line="240" w:lineRule="auto"/>
    </w:pPr>
    <w:rPr>
      <w:rFonts w:ascii="Arial" w:eastAsia="Arial" w:hAnsi="Arial" w:cs="Arial"/>
      <w:sz w:val="24"/>
      <w:szCs w:val="24"/>
      <w:lang w:val="en-GB" w:eastAsia="ar-SA"/>
    </w:rPr>
  </w:style>
  <w:style w:type="paragraph" w:styleId="BalloonText">
    <w:name w:val="Balloon Text"/>
    <w:basedOn w:val="Normal"/>
    <w:link w:val="BalloonTextChar"/>
    <w:uiPriority w:val="99"/>
    <w:semiHidden/>
    <w:unhideWhenUsed/>
    <w:rsid w:val="00B00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1978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Biccard</dc:creator>
  <cp:keywords/>
  <dc:description/>
  <cp:lastModifiedBy>Muhammed </cp:lastModifiedBy>
  <cp:revision>2</cp:revision>
  <dcterms:created xsi:type="dcterms:W3CDTF">2023-07-02T11:11:00Z</dcterms:created>
  <dcterms:modified xsi:type="dcterms:W3CDTF">2023-07-02T11:11:00Z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e45ab7f5170c018684e36717d2b3a08340a2e10c190754e6d56f52626523559b</vt:lpwstr>
  </property>
</Properties>
</file>